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E" w:rsidRDefault="007A209E" w:rsidP="00C60392">
      <w:pP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</w:pPr>
    </w:p>
    <w:p w:rsidR="00C60392" w:rsidRDefault="002C2FD4" w:rsidP="00C60392">
      <w:pP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val="single"/>
          <w:bdr w:val="nil"/>
          <w:lang w:val="fr-FR"/>
        </w:rPr>
      </w:pPr>
      <w:r w:rsidRPr="007A209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val="single"/>
          <w:bdr w:val="nil"/>
          <w:lang w:val="fr-FR"/>
        </w:rPr>
        <w:t>Messages clés :</w:t>
      </w:r>
    </w:p>
    <w:p w:rsidR="007A209E" w:rsidRPr="007A209E" w:rsidRDefault="007A209E" w:rsidP="00C60392">
      <w:pP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  <w:u w:val="single"/>
        </w:rPr>
      </w:pPr>
    </w:p>
    <w:p w:rsidR="00C60392" w:rsidRDefault="00630B49" w:rsidP="00C60392">
      <w:pP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</w:p>
    <w:p w:rsidR="00C60392" w:rsidRPr="00275392" w:rsidRDefault="002C2FD4" w:rsidP="0027539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fr-CH"/>
        </w:rPr>
      </w:pPr>
      <w:r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La D</w:t>
      </w:r>
      <w:r w:rsidR="00C21119"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 xml:space="preserve">éclaration universelle des droits de l’homme </w:t>
      </w:r>
      <w:r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nous responsabilise tous</w:t>
      </w:r>
      <w:r w:rsidR="00A2411B"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Elle éta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blit</w:t>
      </w:r>
      <w:r w:rsidR="00275392" w:rsidRPr="00275392">
        <w:rPr>
          <w:rFonts w:ascii="Century Gothic" w:hAnsi="Century Gothic"/>
          <w:sz w:val="20"/>
          <w:szCs w:val="20"/>
          <w:lang w:val="fr-CH"/>
        </w:rPr>
        <w:t xml:space="preserve"> que </w:t>
      </w:r>
      <w:r w:rsidR="00275392">
        <w:rPr>
          <w:rFonts w:ascii="Century Gothic" w:hAnsi="Century Gothic"/>
          <w:sz w:val="20"/>
          <w:szCs w:val="20"/>
          <w:lang w:val="fr-CH"/>
        </w:rPr>
        <w:t>t</w:t>
      </w:r>
      <w:r w:rsidR="00275392" w:rsidRPr="00275392">
        <w:rPr>
          <w:rFonts w:ascii="Century Gothic" w:hAnsi="Century Gothic"/>
          <w:sz w:val="20"/>
          <w:szCs w:val="20"/>
          <w:lang w:val="fr-CH"/>
        </w:rPr>
        <w:t>ous les êtres humains naissent libres et égaux en dignité et en droits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. Elle confirme que l'État a la mission fondamentale d'instaurer des conditions de vie qui permettent </w:t>
      </w:r>
      <w:r w:rsid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à tous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d'exercer </w:t>
      </w:r>
      <w:r w:rsidR="007A3797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leur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dignité et égalité, dans une liberté plus grande.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br/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</w:t>
      </w:r>
    </w:p>
    <w:p w:rsidR="00C60392" w:rsidRPr="00275392" w:rsidRDefault="002C2FD4" w:rsidP="00C6039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fr-CH"/>
        </w:rPr>
      </w:pPr>
      <w:r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 xml:space="preserve">Les droits de l'homme sont pertinents </w:t>
      </w:r>
      <w:r w:rsidR="00A2411B"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pour nous tous, tous les jours.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Les droits de l'homme incluent no</w:t>
      </w:r>
      <w:r w:rsidR="007A3797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tre droit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à vivre à l'abri de la peur et du besoin, à 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la liberté d’expression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, à la santé et à l'éducation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 ;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et no</w:t>
      </w:r>
      <w:r w:rsidR="007A3797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s droits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à bénéficier de mesures visant à promouvoir la justice économique et sociale.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br/>
      </w:r>
    </w:p>
    <w:p w:rsidR="00C60392" w:rsidRPr="00275392" w:rsidRDefault="002C2FD4" w:rsidP="00C6039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fr-CH"/>
        </w:rPr>
      </w:pPr>
      <w:r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Notre humanité commune est enracinée dans ces valeurs universelles</w:t>
      </w:r>
      <w:r w:rsidR="00A2411B"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.</w:t>
      </w:r>
      <w:r w:rsidRPr="00275392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  <w:bdr w:val="nil"/>
          <w:lang w:val="fr-FR"/>
        </w:rPr>
        <w:t xml:space="preserve">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Nous sommes interconnectés.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Ces droits humains que nous partageons, la solidarité les uns envers les autres et le respect de nos responsabilités en matière de droits de l'homme sont ce qui nous unit.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ab/>
        <w:t xml:space="preserve">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br/>
      </w:r>
    </w:p>
    <w:p w:rsidR="00C60392" w:rsidRPr="00275392" w:rsidRDefault="002C2FD4" w:rsidP="00C6039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fr-CH"/>
        </w:rPr>
      </w:pPr>
      <w:r w:rsidRPr="00275392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bdr w:val="nil"/>
          <w:lang w:val="fr-FR"/>
        </w:rPr>
        <w:t>L'égalité, la justice et la liberté préviennent la violence et maintiennent la paix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. Le respect des droits de l'homme et un régime de droit impartial </w:t>
      </w:r>
      <w:r w:rsidR="00275392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permettant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la résolution des litiges sont au cœur du développement et de la paix.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br/>
      </w:r>
    </w:p>
    <w:p w:rsidR="00C60392" w:rsidRPr="00275392" w:rsidRDefault="002C2FD4" w:rsidP="00C6039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fr-CH"/>
        </w:rPr>
      </w:pP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À chaque fois </w:t>
      </w:r>
      <w:r w:rsidR="007A3797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que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et</w:t>
      </w:r>
      <w:r w:rsidRPr="00275392">
        <w:rPr>
          <w:rFonts w:ascii="Century Gothic" w:eastAsia="Century Gothic" w:hAnsi="Century Gothic" w:cs="Century Gothic"/>
          <w:b/>
          <w:i/>
          <w:color w:val="000000"/>
          <w:sz w:val="20"/>
          <w:szCs w:val="20"/>
          <w:bdr w:val="nil"/>
          <w:lang w:val="fr-FR"/>
        </w:rPr>
        <w:t xml:space="preserve"> partout où</w:t>
      </w:r>
      <w:r w:rsidR="00A2411B" w:rsidRPr="00275392">
        <w:rPr>
          <w:rFonts w:ascii="Century Gothic" w:eastAsia="Century Gothic" w:hAnsi="Century Gothic" w:cs="Century Gothic"/>
          <w:b/>
          <w:i/>
          <w:color w:val="000000"/>
          <w:sz w:val="20"/>
          <w:szCs w:val="20"/>
          <w:bdr w:val="nil"/>
          <w:lang w:val="fr-FR"/>
        </w:rPr>
        <w:t xml:space="preserve"> </w:t>
      </w:r>
      <w:r w:rsidRPr="00275392">
        <w:rPr>
          <w:rFonts w:ascii="Century Gothic" w:eastAsia="Century Gothic" w:hAnsi="Century Gothic" w:cs="Century Gothic"/>
          <w:b/>
          <w:i/>
          <w:color w:val="000000"/>
          <w:sz w:val="20"/>
          <w:szCs w:val="20"/>
          <w:bdr w:val="nil"/>
          <w:lang w:val="fr-FR"/>
        </w:rPr>
        <w:t xml:space="preserve">les valeurs de l'humanité sont abandonnées, nous sommes tous </w:t>
      </w:r>
      <w:r w:rsidR="00275392" w:rsidRPr="00275392">
        <w:rPr>
          <w:rFonts w:ascii="Century Gothic" w:eastAsia="Century Gothic" w:hAnsi="Century Gothic" w:cs="Century Gothic"/>
          <w:b/>
          <w:i/>
          <w:color w:val="000000"/>
          <w:sz w:val="20"/>
          <w:szCs w:val="20"/>
          <w:bdr w:val="nil"/>
          <w:lang w:val="fr-FR"/>
        </w:rPr>
        <w:t>en danger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.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Nous sommes à la croisée des chemins. Les attaques contre les droits de l'homme lancées par ceux qui veulent tirer profit de la haine sapent la liberté et l'égalité</w:t>
      </w:r>
      <w:r w:rsidR="00C21119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, </w:t>
      </w:r>
      <w:r w:rsidR="00275392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que ce soit au niveau local ou</w:t>
      </w:r>
      <w:r w:rsidR="00C21119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mondial.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Nous pouvons et nous devons résister.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br/>
      </w:r>
    </w:p>
    <w:p w:rsidR="00FE2890" w:rsidRPr="00275392" w:rsidRDefault="002C2FD4" w:rsidP="00C6039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fr-CH"/>
        </w:rPr>
      </w:pPr>
      <w:r w:rsidRPr="00275392">
        <w:rPr>
          <w:rFonts w:ascii="Century Gothic" w:eastAsia="Century Gothic" w:hAnsi="Century Gothic" w:cs="Century Gothic"/>
          <w:b/>
          <w:bCs/>
          <w:i/>
          <w:color w:val="000000"/>
          <w:sz w:val="20"/>
          <w:szCs w:val="20"/>
          <w:bdr w:val="nil"/>
          <w:lang w:val="fr-FR"/>
        </w:rPr>
        <w:t>Nous devons défendre nos droits et ceux des autres</w:t>
      </w:r>
      <w:r w:rsidRPr="00275392">
        <w:rPr>
          <w:rFonts w:ascii="Century Gothic" w:eastAsia="Century Gothic" w:hAnsi="Century Gothic" w:cs="Century Gothic"/>
          <w:i/>
          <w:color w:val="000000"/>
          <w:sz w:val="20"/>
          <w:szCs w:val="20"/>
          <w:bdr w:val="nil"/>
          <w:lang w:val="fr-FR"/>
        </w:rPr>
        <w:t>.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Cha</w:t>
      </w:r>
      <w:r w:rsidR="007D15B3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cun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de nous peut se mobiliser.</w:t>
      </w:r>
      <w:r w:rsidR="00A2411B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 </w:t>
      </w:r>
      <w:r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 xml:space="preserve">Nous pouvons agir au quotidien, défendre les droits qui nous protègent tous et promouvoir ainsi </w:t>
      </w:r>
      <w:r w:rsidR="00275392" w:rsidRPr="00275392">
        <w:rPr>
          <w:rFonts w:ascii="Century Gothic" w:eastAsia="Century Gothic" w:hAnsi="Century Gothic" w:cs="Century Gothic"/>
          <w:color w:val="000000"/>
          <w:sz w:val="20"/>
          <w:szCs w:val="20"/>
          <w:bdr w:val="nil"/>
          <w:lang w:val="fr-FR"/>
        </w:rPr>
        <w:t>notre humanité commune.</w:t>
      </w:r>
    </w:p>
    <w:p w:rsidR="00275392" w:rsidRPr="00275392" w:rsidRDefault="00275392" w:rsidP="00275392">
      <w:pPr>
        <w:rPr>
          <w:rFonts w:ascii="Century Gothic" w:hAnsi="Century Gothic"/>
          <w:sz w:val="20"/>
          <w:szCs w:val="20"/>
          <w:lang w:val="fr-CH"/>
        </w:rPr>
      </w:pPr>
    </w:p>
    <w:p w:rsidR="0026076A" w:rsidRDefault="0026076A" w:rsidP="00275392">
      <w:pPr>
        <w:rPr>
          <w:rFonts w:ascii="Century Gothic" w:hAnsi="Century Gothic"/>
          <w:sz w:val="20"/>
          <w:szCs w:val="20"/>
          <w:lang w:val="fr-CH"/>
        </w:rPr>
      </w:pPr>
    </w:p>
    <w:p w:rsidR="0026076A" w:rsidRPr="00630B49" w:rsidRDefault="0026076A" w:rsidP="007A209E">
      <w:pPr>
        <w:rPr>
          <w:rFonts w:ascii="Century Gothic" w:hAnsi="Century Gothic"/>
          <w:sz w:val="20"/>
          <w:szCs w:val="20"/>
          <w:lang w:val="fr-CH"/>
        </w:rPr>
      </w:pPr>
      <w:proofErr w:type="gramStart"/>
      <w:r>
        <w:rPr>
          <w:rFonts w:ascii="Century Gothic" w:hAnsi="Century Gothic"/>
          <w:sz w:val="20"/>
          <w:szCs w:val="20"/>
          <w:lang w:val="fr-CH"/>
        </w:rPr>
        <w:t>Le hashtag</w:t>
      </w:r>
      <w:proofErr w:type="gramEnd"/>
      <w:r>
        <w:rPr>
          <w:rFonts w:ascii="Century Gothic" w:hAnsi="Century Gothic"/>
          <w:sz w:val="20"/>
          <w:szCs w:val="20"/>
          <w:lang w:val="fr-CH"/>
        </w:rPr>
        <w:t xml:space="preserve"> de l’anniversaire est </w:t>
      </w:r>
      <w:r w:rsidR="00275392" w:rsidRPr="00630B49">
        <w:rPr>
          <w:rFonts w:ascii="Century Gothic" w:hAnsi="Century Gothic"/>
          <w:b/>
          <w:sz w:val="20"/>
          <w:szCs w:val="20"/>
          <w:lang w:val="fr-CH"/>
        </w:rPr>
        <w:t>#standup4humanrights</w:t>
      </w:r>
      <w:r>
        <w:rPr>
          <w:rFonts w:ascii="Century Gothic" w:hAnsi="Century Gothic"/>
          <w:sz w:val="20"/>
          <w:szCs w:val="20"/>
          <w:lang w:val="fr-CH"/>
        </w:rPr>
        <w:t xml:space="preserve">. Il est issu de la campagne des Nations Unies </w:t>
      </w:r>
      <w:r w:rsidRPr="00630B49">
        <w:rPr>
          <w:rFonts w:ascii="Century Gothic" w:hAnsi="Century Gothic"/>
          <w:sz w:val="20"/>
          <w:szCs w:val="20"/>
          <w:lang w:val="fr-CH"/>
        </w:rPr>
        <w:t xml:space="preserve">« Défendez les droits de quelqu’un aujourd’hui » qui </w:t>
      </w:r>
      <w:r w:rsidR="00630B49" w:rsidRPr="00630B49">
        <w:rPr>
          <w:rFonts w:ascii="Century Gothic" w:hAnsi="Century Gothic"/>
          <w:sz w:val="20"/>
          <w:szCs w:val="20"/>
          <w:lang w:val="fr-CH"/>
        </w:rPr>
        <w:t xml:space="preserve">encourage le monde à agir </w:t>
      </w:r>
      <w:r w:rsidRPr="00630B49">
        <w:rPr>
          <w:rFonts w:ascii="Century Gothic" w:hAnsi="Century Gothic"/>
          <w:sz w:val="20"/>
          <w:szCs w:val="20"/>
          <w:lang w:val="fr-CH"/>
        </w:rPr>
        <w:t>pour davantage de libertés, de respect et de compassion</w:t>
      </w:r>
      <w:r w:rsidR="00630B49" w:rsidRPr="00630B49">
        <w:rPr>
          <w:rFonts w:ascii="Century Gothic" w:hAnsi="Century Gothic"/>
          <w:sz w:val="20"/>
          <w:szCs w:val="20"/>
          <w:lang w:val="fr-CH"/>
        </w:rPr>
        <w:t xml:space="preserve"> pour les droits de chacun</w:t>
      </w:r>
      <w:r w:rsidRPr="00630B49">
        <w:rPr>
          <w:rFonts w:ascii="Century Gothic" w:hAnsi="Century Gothic"/>
          <w:sz w:val="20"/>
          <w:szCs w:val="20"/>
          <w:lang w:val="fr-CH"/>
        </w:rPr>
        <w:t xml:space="preserve">. </w:t>
      </w:r>
      <w:bookmarkStart w:id="0" w:name="_GoBack"/>
      <w:bookmarkEnd w:id="0"/>
    </w:p>
    <w:sectPr w:rsidR="0026076A" w:rsidRPr="00630B49" w:rsidSect="00FE289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4" w:rsidRDefault="002C2FD4">
      <w:r>
        <w:separator/>
      </w:r>
    </w:p>
  </w:endnote>
  <w:endnote w:type="continuationSeparator" w:id="0">
    <w:p w:rsidR="002C2FD4" w:rsidRDefault="002C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4" w:rsidRDefault="002C2FD4">
      <w:r>
        <w:separator/>
      </w:r>
    </w:p>
  </w:footnote>
  <w:footnote w:type="continuationSeparator" w:id="0">
    <w:p w:rsidR="002C2FD4" w:rsidRDefault="002C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92" w:rsidRPr="00C60392" w:rsidRDefault="007A209E" w:rsidP="00C60392">
    <w:pPr>
      <w:rPr>
        <w:rFonts w:ascii="Century Gothic" w:hAnsi="Century Gothic" w:cs="Century Gothic"/>
        <w:b/>
        <w:bCs/>
        <w:i/>
        <w:iCs/>
        <w:color w:val="000000"/>
        <w:sz w:val="20"/>
        <w:szCs w:val="20"/>
      </w:rPr>
    </w:pPr>
    <w:r>
      <w:rPr>
        <w:rFonts w:ascii="Century Gothic" w:hAnsi="Century Gothic" w:cs="Century Gothic"/>
        <w:b/>
        <w:bCs/>
        <w:i/>
        <w:i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5270400" cy="148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_Years_UDHR_LOGO_F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400" cy="14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01E7"/>
    <w:multiLevelType w:val="hybridMultilevel"/>
    <w:tmpl w:val="5874EC3C"/>
    <w:lvl w:ilvl="0" w:tplc="17883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28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C2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C2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EA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AA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C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4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41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B"/>
    <w:rsid w:val="0026076A"/>
    <w:rsid w:val="00275392"/>
    <w:rsid w:val="002C2FD4"/>
    <w:rsid w:val="00630B49"/>
    <w:rsid w:val="007A209E"/>
    <w:rsid w:val="007A3797"/>
    <w:rsid w:val="007D15B3"/>
    <w:rsid w:val="00A2411B"/>
    <w:rsid w:val="00C21119"/>
    <w:rsid w:val="00E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BF42"/>
  <w15:docId w15:val="{CB267015-7DC7-45F2-8F60-D883B35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92"/>
  </w:style>
  <w:style w:type="paragraph" w:styleId="Footer">
    <w:name w:val="footer"/>
    <w:basedOn w:val="Normal"/>
    <w:link w:val="FooterChar"/>
    <w:uiPriority w:val="99"/>
    <w:unhideWhenUsed/>
    <w:rsid w:val="00C60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92"/>
  </w:style>
  <w:style w:type="character" w:customStyle="1" w:styleId="inbl">
    <w:name w:val="inbl"/>
    <w:basedOn w:val="DefaultParagraphFont"/>
    <w:rsid w:val="007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Gruber</dc:creator>
  <cp:lastModifiedBy>Nicolas Meulders</cp:lastModifiedBy>
  <cp:revision>3</cp:revision>
  <dcterms:created xsi:type="dcterms:W3CDTF">2017-10-19T13:46:00Z</dcterms:created>
  <dcterms:modified xsi:type="dcterms:W3CDTF">2017-10-27T09:20:00Z</dcterms:modified>
</cp:coreProperties>
</file>